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A2" w:rsidRDefault="004952A2" w:rsidP="00595F76">
      <w:pPr>
        <w:spacing w:after="0"/>
      </w:pPr>
    </w:p>
    <w:p w:rsidR="00595F76" w:rsidRPr="00595F76" w:rsidRDefault="00595F76" w:rsidP="00595F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595F76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ANUNȚ CONCURS DE SELECȚIE</w:t>
      </w:r>
    </w:p>
    <w:p w:rsidR="00595F76" w:rsidRPr="00595F76" w:rsidRDefault="00595F76" w:rsidP="00595F7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95F76" w:rsidRDefault="00595F76" w:rsidP="00595F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95F7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ÎN ATENTIA CADRELOR DIDACTICE DIN CONSORTIUL COORDONAT DE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TUCᾸ MARIA GEORGIANA</w:t>
      </w:r>
    </w:p>
    <w:p w:rsidR="00595F76" w:rsidRDefault="00595F76" w:rsidP="00595F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:rsidR="00595F76" w:rsidRPr="00062DC0" w:rsidRDefault="00595F76" w:rsidP="00595F7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95F7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Ca urmare </w:t>
      </w:r>
      <w:proofErr w:type="gramStart"/>
      <w:r w:rsidRPr="00595F76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Pr="00595F7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aprobării acreditarii Erasmus+ coordonate de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Tuca Maria Georgiana </w:t>
      </w:r>
      <w:r w:rsidRPr="00595F76">
        <w:rPr>
          <w:rFonts w:ascii="Times New Roman" w:eastAsia="Times New Roman" w:hAnsi="Times New Roman" w:cs="Times New Roman"/>
          <w:sz w:val="24"/>
          <w:szCs w:val="24"/>
          <w:lang w:val="en-GB"/>
        </w:rPr>
        <w:t>in cadrul consortiului constituit in acest scop, cu numarul de referinta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95F7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2023-1-RO01-KA122-SCH000149686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595F7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organizează </w:t>
      </w:r>
      <w:r w:rsidRPr="00595F7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CONCURS DE SELECȚIE</w:t>
      </w:r>
      <w:r w:rsidRPr="00595F7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profesorilor pentru mobilitățile desfăşurate în cadrul proiectului, care vor avea loc în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F25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ITALIA</w:t>
      </w:r>
      <w:r w:rsidRPr="00595F7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in perioada </w:t>
      </w:r>
      <w:r w:rsidR="00EF2534">
        <w:rPr>
          <w:rFonts w:ascii="Times New Roman" w:eastAsia="Calibri" w:hAnsi="Times New Roman" w:cs="Times New Roman"/>
          <w:b/>
          <w:sz w:val="24"/>
        </w:rPr>
        <w:t>2</w:t>
      </w:r>
      <w:r w:rsidR="00D32E2D">
        <w:rPr>
          <w:rFonts w:ascii="Times New Roman" w:eastAsia="Calibri" w:hAnsi="Times New Roman" w:cs="Times New Roman"/>
          <w:b/>
          <w:sz w:val="24"/>
        </w:rPr>
        <w:t>.</w:t>
      </w:r>
      <w:r w:rsidR="00EF2534">
        <w:rPr>
          <w:rFonts w:ascii="Times New Roman" w:eastAsia="Calibri" w:hAnsi="Times New Roman" w:cs="Times New Roman"/>
          <w:b/>
          <w:sz w:val="24"/>
        </w:rPr>
        <w:t>10.2024-11</w:t>
      </w:r>
      <w:r w:rsidR="00062DC0" w:rsidRPr="00062DC0">
        <w:rPr>
          <w:rFonts w:ascii="Times New Roman" w:eastAsia="Calibri" w:hAnsi="Times New Roman" w:cs="Times New Roman"/>
          <w:b/>
          <w:sz w:val="24"/>
        </w:rPr>
        <w:t>.</w:t>
      </w:r>
      <w:r w:rsidR="00EF2534">
        <w:rPr>
          <w:rFonts w:ascii="Times New Roman" w:eastAsia="Calibri" w:hAnsi="Times New Roman" w:cs="Times New Roman"/>
          <w:b/>
          <w:sz w:val="24"/>
        </w:rPr>
        <w:t>10</w:t>
      </w:r>
      <w:r w:rsidR="00062DC0" w:rsidRPr="00062DC0">
        <w:rPr>
          <w:rFonts w:ascii="Times New Roman" w:eastAsia="Calibri" w:hAnsi="Times New Roman" w:cs="Times New Roman"/>
          <w:b/>
          <w:sz w:val="24"/>
        </w:rPr>
        <w:t>.2024</w:t>
      </w:r>
      <w:r w:rsidR="00062DC0">
        <w:rPr>
          <w:rFonts w:ascii="Times New Roman" w:eastAsia="Calibri" w:hAnsi="Times New Roman" w:cs="Times New Roman"/>
          <w:b/>
          <w:sz w:val="24"/>
        </w:rPr>
        <w:t>.</w:t>
      </w:r>
    </w:p>
    <w:p w:rsidR="00B950C5" w:rsidRPr="00B950C5" w:rsidRDefault="00B950C5" w:rsidP="00B950C5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gramStart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Profesorii v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or face parte din unitatea de invatamant a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consortiului de acreditare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Erasmus+ coordonat de GRADINITA CU PROGRAM PRELUNGIT 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10 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Selectia se </w:t>
      </w:r>
      <w:proofErr w:type="gramStart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va</w:t>
      </w:r>
      <w:proofErr w:type="gramEnd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face in limita a doua locuri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per institutie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B950C5" w:rsidRPr="00B950C5" w:rsidRDefault="00B950C5" w:rsidP="00B950C5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Transportul şi cheltuielile de subzistenţă vor fi suportate din bugetul proiectului finanţat de Comisia Europeană prin </w:t>
      </w:r>
      <w:r w:rsidRPr="00B95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Agenţia Naţională pentru Programe Comunitare în Domeniul Educaţiei şi Formării </w:t>
      </w:r>
      <w:proofErr w:type="gramStart"/>
      <w:r w:rsidRPr="00B95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Profesionale 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gramEnd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A.N.P.C.D.E.F.P). </w:t>
      </w:r>
    </w:p>
    <w:p w:rsidR="00B950C5" w:rsidRDefault="00B950C5" w:rsidP="00B950C5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Institutia educationala mandatara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din care vor putea participa cadre didactice,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mobilitatile din </w:t>
      </w:r>
      <w:r w:rsidR="00062D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ITALIA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GRADINITA CU PROGRAM PRELUNGIT NR. 10.</w:t>
      </w:r>
    </w:p>
    <w:p w:rsidR="00B950C5" w:rsidRPr="00B950C5" w:rsidRDefault="00B950C5" w:rsidP="00B950C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Obiective generale ale acreditarii, aplicabile prezentului anunt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B950C5" w:rsidRPr="00B950C5" w:rsidRDefault="00B950C5" w:rsidP="00B950C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>Cresterea numaru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lui de profesori din consortiu, </w:t>
      </w:r>
      <w:r w:rsidRPr="00B950C5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>care utilizeaza instrumente web in invatare si  predau pentru copii si elevii dezavantajati</w:t>
      </w:r>
    </w:p>
    <w:p w:rsidR="00B950C5" w:rsidRPr="00B950C5" w:rsidRDefault="00AC58D3" w:rsidP="00AC58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Cresterea numarului</w:t>
      </w:r>
      <w:r w:rsidR="00B950C5" w:rsidRPr="00B950C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de profesori consilieri, logopezi, mediatori, pshihologi care realizeaza interventii personalizate cu cadre didactice si copii/elevi folosind instrumente web 2.0 si platforme online</w:t>
      </w:r>
    </w:p>
    <w:p w:rsidR="00B950C5" w:rsidRPr="00B950C5" w:rsidRDefault="00B950C5" w:rsidP="00AC58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Cresterea numarului de prof</w:t>
      </w:r>
      <w:r w:rsid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esori din consortiu,</w:t>
      </w:r>
      <w:r w:rsidRPr="00B950C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care utilizeaza metode inovative pentru cresterea incluziunii copiilor si elevilor dezavantajati</w:t>
      </w:r>
    </w:p>
    <w:p w:rsidR="00B950C5" w:rsidRPr="00B950C5" w:rsidRDefault="00B950C5" w:rsidP="00AC58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Cresterea numarului de profesori consilieri, logopezi, mediatori, pshihologi care folosesc metode inovative pentru realizarea interventiilor personalizate cu cadre didactice si copii/elevi</w:t>
      </w:r>
    </w:p>
    <w:p w:rsidR="00B950C5" w:rsidRDefault="00B950C5" w:rsidP="00B9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Pentru atingerea acestor obiective </w:t>
      </w:r>
      <w:proofErr w:type="gramStart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va</w:t>
      </w:r>
      <w:proofErr w:type="gramEnd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fi realizat cursul de formare:</w:t>
      </w:r>
    </w:p>
    <w:p w:rsidR="00EF2534" w:rsidRPr="00B950C5" w:rsidRDefault="00EF2534" w:rsidP="00B9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EF2534">
        <w:rPr>
          <w:rFonts w:ascii="Times New Roman" w:hAnsi="Times New Roman"/>
          <w:sz w:val="24"/>
          <w:szCs w:val="24"/>
        </w:rPr>
        <w:t xml:space="preserve"> </w:t>
      </w:r>
      <w:r w:rsidRPr="00AF5CB2">
        <w:rPr>
          <w:rFonts w:ascii="Times New Roman" w:hAnsi="Times New Roman"/>
          <w:sz w:val="24"/>
          <w:szCs w:val="24"/>
        </w:rPr>
        <w:t>Inclusive classroom through ICT</w:t>
      </w:r>
    </w:p>
    <w:p w:rsidR="00B950C5" w:rsidRPr="00B950C5" w:rsidRDefault="00B950C5" w:rsidP="00B95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Detalii despre cursul selectat:</w:t>
      </w:r>
      <w:r w:rsid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C58D3" w:rsidRPr="00AC58D3">
        <w:rPr>
          <w:rFonts w:ascii="Times New Roman" w:hAnsi="Times New Roman" w:cs="Times New Roman"/>
          <w:sz w:val="24"/>
          <w:shd w:val="clear" w:color="auto" w:fill="FFFFFF"/>
        </w:rPr>
        <w:t xml:space="preserve">utilizarea metodelor de educație non-formală pentru a favoriza incluziunea, metode de educație non-formală, activități și instrumente de educație non-formală utilizate în mediul formal pentru </w:t>
      </w:r>
      <w:proofErr w:type="gramStart"/>
      <w:r w:rsidR="00AC58D3" w:rsidRPr="00AC58D3">
        <w:rPr>
          <w:rFonts w:ascii="Times New Roman" w:hAnsi="Times New Roman" w:cs="Times New Roman"/>
          <w:sz w:val="24"/>
          <w:shd w:val="clear" w:color="auto" w:fill="FFFFFF"/>
        </w:rPr>
        <w:t>a</w:t>
      </w:r>
      <w:proofErr w:type="gramEnd"/>
      <w:r w:rsidR="00AC58D3" w:rsidRPr="00AC58D3">
        <w:rPr>
          <w:rFonts w:ascii="Times New Roman" w:hAnsi="Times New Roman" w:cs="Times New Roman"/>
          <w:sz w:val="24"/>
          <w:shd w:val="clear" w:color="auto" w:fill="FFFFFF"/>
        </w:rPr>
        <w:t xml:space="preserve"> asigura incluziunea și integrarea tuturor elevilor</w:t>
      </w:r>
    </w:p>
    <w:p w:rsidR="00B950C5" w:rsidRPr="00B950C5" w:rsidRDefault="00B950C5" w:rsidP="00B9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Lınk-ul de la curs</w:t>
      </w:r>
    </w:p>
    <w:p w:rsidR="00EF2534" w:rsidRPr="00EF2534" w:rsidRDefault="00EF2534" w:rsidP="00AC58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EF2534">
        <w:rPr>
          <w:rFonts w:ascii="Times New Roman" w:hAnsi="Times New Roman" w:cs="Times New Roman"/>
          <w:sz w:val="24"/>
        </w:rPr>
        <w:t>https://edu2grow.org/staff-courses/inclusive-classroom-through-ict/</w:t>
      </w:r>
    </w:p>
    <w:p w:rsidR="00B950C5" w:rsidRPr="00B950C5" w:rsidRDefault="00B950C5" w:rsidP="00AC58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La aceasta activ</w:t>
      </w:r>
      <w:r w:rsid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itate de formare vor participa 2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cadre didactice din consortiu care vor fi selectate printr-un proces transparent de selectie.</w:t>
      </w:r>
    </w:p>
    <w:p w:rsidR="00B950C5" w:rsidRPr="00B950C5" w:rsidRDefault="00B950C5" w:rsidP="00AC58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gramStart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Pe toata durata proiectului vor fi organizate activitati de promovare, diseminare si multiplicare, prin care rezultatele proiectului vor fi cunoscute la nivel local si judetean.</w:t>
      </w:r>
      <w:proofErr w:type="gramEnd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Astfel vom creste gradul de impact si vom aduce la cunostinta profes</w:t>
      </w:r>
      <w:r w:rsid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orilor din alte unitati scolare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oportunitatile de formare pe care le ofera si finanteaza Programul Erasmus+.</w:t>
      </w:r>
    </w:p>
    <w:p w:rsidR="00B950C5" w:rsidRPr="00B950C5" w:rsidRDefault="00B950C5" w:rsidP="00AC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Impact:</w:t>
      </w:r>
      <w:r w:rsid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Ne dorim ca prin implementarea acestui proiect sa cream un impact consistent asupra profesorilor, copiilor, parintilor, dar si la nivelul comunitatii locale, incurajand printre altele </w:t>
      </w: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si scrierea si implementarea de proiecte calitative cu finantare prin programul Erasmus+ la nivel de invatamant prescolar. </w:t>
      </w:r>
    </w:p>
    <w:p w:rsidR="00B950C5" w:rsidRPr="00B950C5" w:rsidRDefault="00B950C5" w:rsidP="00B950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Preconizam ca participarea profesorilor la activitatile de mobilitate </w:t>
      </w:r>
      <w:proofErr w:type="gramStart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>va</w:t>
      </w:r>
      <w:proofErr w:type="gramEnd"/>
      <w:r w:rsidRPr="00B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avea efect multiplicator in timp si un impact sustenabil la nivelul unitatilor scolare si al comunitatii.</w:t>
      </w:r>
    </w:p>
    <w:p w:rsidR="00B950C5" w:rsidRDefault="00B950C5" w:rsidP="00B950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950C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Concursul de selecție va fi organizat în conformitate cu prevederile cererii de </w:t>
      </w:r>
      <w:proofErr w:type="gramStart"/>
      <w:r w:rsidRPr="00B950C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finantare </w:t>
      </w:r>
      <w:r w:rsidRPr="00B950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AC58D3" w:rsidRPr="00595F7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2023</w:t>
      </w:r>
      <w:proofErr w:type="gramEnd"/>
      <w:r w:rsidR="00AC58D3" w:rsidRPr="00595F7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-1-RO01-KA122-SCH000149686</w:t>
      </w:r>
      <w:r w:rsidRPr="00B950C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si contractului semnat cu ANPCDEFP.</w:t>
      </w:r>
    </w:p>
    <w:p w:rsidR="00AC58D3" w:rsidRDefault="00AC58D3" w:rsidP="00B950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AC58D3" w:rsidRDefault="00AC58D3" w:rsidP="00AC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gramStart"/>
      <w:r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Calendarul concursului de selecție pentru </w:t>
      </w:r>
      <w:r w:rsidR="00EF25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POMPEI</w:t>
      </w:r>
      <w:r w:rsidR="00D32E2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 ITALIA 27.05-4.06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.2024.</w:t>
      </w:r>
      <w:proofErr w:type="gramEnd"/>
    </w:p>
    <w:p w:rsidR="00AC58D3" w:rsidRDefault="00AC58D3" w:rsidP="00AC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W w:w="826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2720"/>
        <w:gridCol w:w="5540"/>
      </w:tblGrid>
      <w:tr w:rsidR="00AC58D3" w:rsidRPr="00AC58D3" w:rsidTr="001A541C">
        <w:trPr>
          <w:trHeight w:val="283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AC58D3" w:rsidP="00AC5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C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DATA</w:t>
            </w:r>
          </w:p>
        </w:tc>
        <w:tc>
          <w:tcPr>
            <w:tcW w:w="5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AC58D3" w:rsidP="00AC58D3">
            <w:pPr>
              <w:widowControl w:val="0"/>
              <w:spacing w:after="0" w:line="240" w:lineRule="auto"/>
              <w:ind w:left="190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C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ACTIVITATEA</w:t>
            </w:r>
          </w:p>
        </w:tc>
      </w:tr>
      <w:tr w:rsidR="00AC58D3" w:rsidRPr="00AC58D3" w:rsidTr="001A541C">
        <w:trPr>
          <w:trHeight w:val="263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EF2534" w:rsidP="00AC5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1-5.</w:t>
            </w:r>
            <w:r w:rsidR="00AC58D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4.2024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EF2534" w:rsidP="00AC58D3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Actualizarea</w:t>
            </w:r>
            <w:r w:rsidR="00AC58D3" w:rsidRPr="00AC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portofoliilor</w:t>
            </w:r>
          </w:p>
        </w:tc>
      </w:tr>
      <w:tr w:rsidR="00AC58D3" w:rsidRPr="00AC58D3" w:rsidTr="001A541C">
        <w:trPr>
          <w:trHeight w:val="266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EF2534" w:rsidP="00AC5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AC58D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</w:t>
            </w:r>
            <w:r w:rsidR="00AC58D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4.2024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AC58D3" w:rsidP="00AC58D3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C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Evaluarea portofoliilor</w:t>
            </w:r>
          </w:p>
        </w:tc>
      </w:tr>
      <w:tr w:rsidR="00AC58D3" w:rsidRPr="00AC58D3" w:rsidTr="001A541C">
        <w:trPr>
          <w:trHeight w:val="266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EF2534" w:rsidP="00AC5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15-19.04.2024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AC58D3" w:rsidP="00AC58D3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C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Desfășurare interviu</w:t>
            </w:r>
          </w:p>
        </w:tc>
      </w:tr>
      <w:tr w:rsidR="00AC58D3" w:rsidRPr="00AC58D3" w:rsidTr="001A541C">
        <w:trPr>
          <w:trHeight w:val="267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EF2534" w:rsidP="00AC5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</w:t>
            </w:r>
            <w:r w:rsidR="00AC58D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4.2024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AC58D3" w:rsidP="00AC58D3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C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Afișarea rezultatelor</w:t>
            </w:r>
          </w:p>
        </w:tc>
      </w:tr>
      <w:tr w:rsidR="00AC58D3" w:rsidRPr="00AC58D3" w:rsidTr="001A541C">
        <w:trPr>
          <w:trHeight w:val="267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EF2534" w:rsidP="00AC5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21.</w:t>
            </w:r>
            <w:r w:rsidR="00AC58D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4.2024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AC58D3" w:rsidP="00AC58D3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C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Primirea contestațiilor</w:t>
            </w:r>
          </w:p>
        </w:tc>
      </w:tr>
      <w:tr w:rsidR="00AC58D3" w:rsidRPr="00AC58D3" w:rsidTr="001A541C">
        <w:trPr>
          <w:trHeight w:val="266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8D3" w:rsidRPr="00AC58D3" w:rsidRDefault="00EF2534" w:rsidP="00AC5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22.04.2024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58D3" w:rsidRPr="00AC58D3" w:rsidRDefault="00AC58D3" w:rsidP="00AC58D3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C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Rezolvarea contestațiilor și afișarea rezultatelor finale</w:t>
            </w:r>
          </w:p>
        </w:tc>
      </w:tr>
    </w:tbl>
    <w:p w:rsidR="00AC58D3" w:rsidRPr="00AC58D3" w:rsidRDefault="00AC58D3" w:rsidP="00AC5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Pr="00B950C5" w:rsidRDefault="00AC58D3" w:rsidP="00B950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AC58D3" w:rsidRPr="00AC58D3" w:rsidRDefault="00EF2534" w:rsidP="00AC58D3">
      <w:pPr>
        <w:widowControl w:val="0"/>
        <w:spacing w:after="0" w:line="240" w:lineRule="auto"/>
        <w:ind w:left="560" w:right="3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Actualizarea p</w:t>
      </w:r>
      <w:r w:rsidR="00AC58D3"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ortofoliul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ui</w:t>
      </w:r>
      <w:r w:rsidR="00AC58D3"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depus de către fiecare candidat </w:t>
      </w:r>
      <w:proofErr w:type="gramStart"/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va</w:t>
      </w:r>
      <w:proofErr w:type="gramEnd"/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cuprinde următoarele documente:</w:t>
      </w:r>
    </w:p>
    <w:p w:rsidR="00AC58D3" w:rsidRPr="00AC58D3" w:rsidRDefault="00AC58D3" w:rsidP="00AC58D3">
      <w:pPr>
        <w:widowControl w:val="0"/>
        <w:numPr>
          <w:ilvl w:val="0"/>
          <w:numId w:val="4"/>
        </w:num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cerere adresată directorului școlii</w:t>
      </w: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(model în ANEXA</w:t>
      </w:r>
      <w:bookmarkStart w:id="0" w:name="bookmark=id.gjdgxs" w:colFirst="0" w:colLast="0"/>
      <w:bookmarkEnd w:id="0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1);</w:t>
      </w: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Pr="00AC58D3" w:rsidRDefault="00AC58D3" w:rsidP="00AC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Pr="00AC58D3" w:rsidRDefault="00AC58D3" w:rsidP="00AC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NOTĂ</w:t>
      </w: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AC58D3" w:rsidRPr="00AC58D3" w:rsidRDefault="00444FC4" w:rsidP="00444F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C58D3"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F253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Actualizarea</w:t>
      </w:r>
      <w:r w:rsidR="00AC58D3"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se va face în urma completării unei cereri de înscriere pusă la dispoziţie de Comisia de Selecţie;</w:t>
      </w:r>
    </w:p>
    <w:p w:rsidR="00AC58D3" w:rsidRPr="00AC58D3" w:rsidRDefault="00EF2534" w:rsidP="00AC58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Cererile</w:t>
      </w:r>
      <w:r w:rsidR="00AC58D3"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vor fi primite la secretariat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la sediul GRADINITEI CU PROGRAM PRELUNGIT NR. 10</w:t>
      </w:r>
      <w:r w:rsidR="00AC58D3"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intre orele 10-15 zilnic. Acestea vor primi un număr de înregist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rare, în ziua depunerii acesteia</w:t>
      </w:r>
      <w:r w:rsidR="00AC58D3"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;</w:t>
      </w:r>
    </w:p>
    <w:p w:rsidR="00AC58D3" w:rsidRPr="00AC58D3" w:rsidRDefault="00AC58D3" w:rsidP="00AC58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Orice informație eronată </w:t>
      </w:r>
      <w:proofErr w:type="gramStart"/>
      <w:r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va</w:t>
      </w:r>
      <w:proofErr w:type="gramEnd"/>
      <w:r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duce la eliminarea automată a candidatului.</w:t>
      </w:r>
    </w:p>
    <w:p w:rsidR="00AC58D3" w:rsidRPr="00AC58D3" w:rsidRDefault="00AC58D3" w:rsidP="00AC58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Dosarul de selectie va ramane </w:t>
      </w:r>
      <w:r w:rsid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 original la sediul GRADINITEI CU PROGRAM PRELUNGIT </w:t>
      </w:r>
      <w:proofErr w:type="gramStart"/>
      <w:r w:rsid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NR.10 </w:t>
      </w:r>
      <w:r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si</w:t>
      </w:r>
      <w:proofErr w:type="gramEnd"/>
      <w:r w:rsidRPr="00AC58D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va putea fi utilizat de candidat pentru o viitoare selectie, cu reactualizarea anexei 1, care va primi nr de inregistrare la reactualizare.</w:t>
      </w:r>
    </w:p>
    <w:p w:rsidR="00AC58D3" w:rsidRPr="00AC58D3" w:rsidRDefault="00AC58D3" w:rsidP="00AC58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Criteriile de selecție</w:t>
      </w: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sunt:</w:t>
      </w:r>
    </w:p>
    <w:p w:rsidR="00AC58D3" w:rsidRPr="00AC58D3" w:rsidRDefault="00AC58D3" w:rsidP="00444F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-  Depunerea dosarului în termenul limită stabilit;</w:t>
      </w:r>
    </w:p>
    <w:p w:rsidR="00AC58D3" w:rsidRPr="00AC58D3" w:rsidRDefault="00AC58D3" w:rsidP="00444FC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-   Respectarea integrală a structurii dosarului;</w:t>
      </w:r>
    </w:p>
    <w:p w:rsidR="00444FC4" w:rsidRDefault="00AC58D3" w:rsidP="00EF253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-   Cunoașterea limbii engleze măcar la nivel A1</w:t>
      </w:r>
    </w:p>
    <w:p w:rsidR="00AC58D3" w:rsidRPr="00AC58D3" w:rsidRDefault="00AC58D3" w:rsidP="00444FC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  Să dovedească o bună cunoaștere </w:t>
      </w:r>
      <w:proofErr w:type="gramStart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obiectivelor cursurilor.</w:t>
      </w:r>
    </w:p>
    <w:p w:rsidR="00AC58D3" w:rsidRPr="00AC58D3" w:rsidRDefault="00AC58D3" w:rsidP="00AC5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Selecția se realizează în condițiile respectării egalității de șanse(etnie, sex, religie, dizabilități, categorie socială și orice alt criteriu), ținând cont de principiile nediscriminării, echitabilității, transparenței și a evitării oricărui conflict de interese, de către Comisia de Selecție constituită prin decizie internă.</w:t>
      </w:r>
    </w:p>
    <w:p w:rsidR="00AC58D3" w:rsidRPr="00AC58D3" w:rsidRDefault="00AC58D3" w:rsidP="00AC5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Probele și locul desfășurării concursului de selecție:</w:t>
      </w: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  </w:t>
      </w: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1. </w:t>
      </w:r>
      <w:proofErr w:type="gramStart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analiza</w:t>
      </w:r>
      <w:proofErr w:type="gramEnd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dosarului de candidatură - portofoliul depus, conform criteriilor din  ANEXA2</w:t>
      </w:r>
    </w:p>
    <w:p w:rsidR="00AC58D3" w:rsidRPr="00AC58D3" w:rsidRDefault="00AC58D3" w:rsidP="00AC58D3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2. </w:t>
      </w:r>
      <w:proofErr w:type="gramStart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interviu</w:t>
      </w:r>
      <w:proofErr w:type="gramEnd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în limba engleză.</w:t>
      </w:r>
    </w:p>
    <w:p w:rsidR="00AC58D3" w:rsidRPr="00AC58D3" w:rsidRDefault="00AC58D3" w:rsidP="00AC58D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Interviul se </w:t>
      </w:r>
      <w:proofErr w:type="gramStart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va</w:t>
      </w:r>
      <w:proofErr w:type="gramEnd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desfășura online, conform calendarului de selectie. Ora </w:t>
      </w:r>
      <w:proofErr w:type="gramStart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va</w:t>
      </w:r>
      <w:proofErr w:type="gramEnd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fi comunicata catre candidat pe e-mail.</w:t>
      </w:r>
    </w:p>
    <w:p w:rsidR="00AC58D3" w:rsidRPr="00AC58D3" w:rsidRDefault="00AC58D3" w:rsidP="00AC58D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Din totalul participanților la concursul de selecție </w:t>
      </w:r>
      <w:proofErr w:type="gramStart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va</w:t>
      </w:r>
      <w:proofErr w:type="gramEnd"/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fi creată o bază de rezerve. </w:t>
      </w: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Cerințe pentru participanți </w:t>
      </w:r>
      <w:proofErr w:type="gramStart"/>
      <w:r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 în</w:t>
      </w:r>
      <w:proofErr w:type="gramEnd"/>
      <w:r w:rsidRPr="00AC58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timpul și după finalizarea proiectului):</w:t>
      </w:r>
    </w:p>
    <w:p w:rsidR="00AC58D3" w:rsidRPr="00AC58D3" w:rsidRDefault="00AC58D3" w:rsidP="00AC58D3">
      <w:pPr>
        <w:widowControl w:val="0"/>
        <w:numPr>
          <w:ilvl w:val="0"/>
          <w:numId w:val="5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respectarea programului de pregătire de specialitate, lingvistică, pedagogică și culturală, care se va desfășura anterior perioadei de mobilitate; </w:t>
      </w:r>
    </w:p>
    <w:p w:rsidR="00AC58D3" w:rsidRPr="00AC58D3" w:rsidRDefault="00AC58D3" w:rsidP="00AC58D3">
      <w:pPr>
        <w:widowControl w:val="0"/>
        <w:numPr>
          <w:ilvl w:val="0"/>
          <w:numId w:val="5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respectarea programului de lucru, în cadrul mobilității, precum și a solicitărilor echipei de gestiune a proiectului; </w:t>
      </w:r>
    </w:p>
    <w:p w:rsidR="00AC58D3" w:rsidRPr="00AC58D3" w:rsidRDefault="00AC58D3" w:rsidP="00AC58D3">
      <w:pPr>
        <w:widowControl w:val="0"/>
        <w:numPr>
          <w:ilvl w:val="0"/>
          <w:numId w:val="5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elaborarea raportului la revenirea din mobilitate, conform formularului online elaborat de Comisia Europeana; </w:t>
      </w:r>
    </w:p>
    <w:p w:rsidR="00AC58D3" w:rsidRPr="00AC58D3" w:rsidRDefault="00444FC4" w:rsidP="00444F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</w:t>
      </w:r>
      <w:proofErr w:type="gramStart"/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proofErr w:type="gramEnd"/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. implicarea activă în activitățile de diseminare și valorizare prevăzute în proiect în conformitate cu planului de diseminare și valorizare a experienței dobândite în cadrul proiectului.</w:t>
      </w:r>
    </w:p>
    <w:p w:rsidR="00AC58D3" w:rsidRPr="00AC58D3" w:rsidRDefault="00AC58D3" w:rsidP="00AC58D3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Persoană de</w:t>
      </w:r>
      <w:r w:rsidR="00444F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contact – prof. Tuca Maria Georgiana, manager de proiect (0766812587</w:t>
      </w:r>
      <w:r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Pr="00AC58D3" w:rsidRDefault="00AC58D3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58D3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</w:t>
      </w:r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Director </w:t>
      </w:r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</w:t>
      </w:r>
      <w:r w:rsidR="00AC58D3" w:rsidRPr="00AC58D3">
        <w:rPr>
          <w:rFonts w:ascii="Times New Roman" w:eastAsia="Times New Roman" w:hAnsi="Times New Roman" w:cs="Times New Roman"/>
          <w:sz w:val="24"/>
          <w:szCs w:val="24"/>
          <w:lang w:val="en-GB"/>
        </w:rPr>
        <w:t>Manager de proiect</w:t>
      </w: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POPA GEORGETA                                                                  TUCA MARIA GEORGIANA</w:t>
      </w: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2534" w:rsidRDefault="00EF253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2534" w:rsidRDefault="00EF253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2534" w:rsidRDefault="00EF253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2534" w:rsidRDefault="00EF253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2534" w:rsidRDefault="00EF253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2534" w:rsidRDefault="00EF253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2534" w:rsidRDefault="00EF253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Default="00444FC4" w:rsidP="00AC5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Proiect finanțat prin Programul </w:t>
      </w:r>
      <w:r w:rsidRPr="00444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Erasmus+ </w:t>
      </w: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Acțiunea cheie acreditare Erasmus+ KA1 – </w:t>
      </w:r>
      <w:r w:rsidRPr="00444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Proiecte de mobilitate</w:t>
      </w: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Domeniul – </w:t>
      </w:r>
      <w:r w:rsidRPr="00444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Scolar</w:t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       </w:t>
      </w: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Numărul de identificare al contractului: 2023-1-RO01-KA122-SCH000149686</w:t>
      </w: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Durata: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14 luni</w:t>
      </w:r>
    </w:p>
    <w:p w:rsid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Beneficiar: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Gradinita cu program prelungit nr. 10</w:t>
      </w:r>
    </w:p>
    <w:p w:rsidR="00EF2534" w:rsidRPr="00444FC4" w:rsidRDefault="00EF253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44FC4" w:rsidRPr="00444FC4" w:rsidRDefault="00444FC4" w:rsidP="0044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</w:t>
      </w:r>
      <w:r w:rsidRPr="00444F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                                                                       </w:t>
      </w:r>
      <w:r w:rsidRPr="00444FC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ANEXA 1</w:t>
      </w:r>
    </w:p>
    <w:p w:rsidR="00444FC4" w:rsidRPr="00444FC4" w:rsidRDefault="00444FC4" w:rsidP="0044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</w:t>
      </w:r>
      <w:r w:rsidRPr="00444FC4">
        <w:rPr>
          <w:rFonts w:ascii="Times New Roman" w:eastAsia="Times New Roman" w:hAnsi="Times New Roman" w:cs="Times New Roman"/>
          <w:sz w:val="24"/>
          <w:szCs w:val="24"/>
          <w:lang w:val="en-GB"/>
        </w:rPr>
        <w:t>Nr. ________/__________</w:t>
      </w:r>
    </w:p>
    <w:p w:rsidR="00444FC4" w:rsidRDefault="00444FC4" w:rsidP="00444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2534" w:rsidRPr="00444FC4" w:rsidRDefault="00EF2534" w:rsidP="00444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Pr="00444FC4" w:rsidRDefault="00444FC4" w:rsidP="00444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CERERE DE ÎNSCRIERE</w:t>
      </w:r>
    </w:p>
    <w:p w:rsidR="00444FC4" w:rsidRDefault="00444FC4" w:rsidP="00444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CONCURS DE SELECȚIE</w:t>
      </w:r>
    </w:p>
    <w:p w:rsidR="00EF2534" w:rsidRPr="00444FC4" w:rsidRDefault="00EF2534" w:rsidP="00444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Pr="00444FC4" w:rsidRDefault="00444FC4" w:rsidP="00444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Pr="00444FC4" w:rsidRDefault="00444FC4" w:rsidP="00444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Doamna Director</w:t>
      </w:r>
    </w:p>
    <w:p w:rsidR="00444FC4" w:rsidRPr="00444FC4" w:rsidRDefault="00444FC4" w:rsidP="0044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Pr="00444FC4" w:rsidRDefault="00444FC4" w:rsidP="00444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Subsemnatul/a …………………………………………………, domiciliat/ă în localitatea </w:t>
      </w:r>
      <w:proofErr w:type="gramStart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………………..,</w:t>
      </w:r>
      <w:proofErr w:type="gramEnd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judeţ ….…., strada ……………………………………….., nr. …, bl. ………, sc. ….</w:t>
      </w:r>
      <w:proofErr w:type="gramStart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,et</w:t>
      </w:r>
      <w:proofErr w:type="gramEnd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…</w:t>
      </w:r>
      <w:proofErr w:type="gramStart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 ap</w:t>
      </w:r>
      <w:proofErr w:type="gramEnd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…. telefon …………………, adresă    e-mail………………..…………….……………………..., cu CI……nr……………, CNP…………………………………doresc să particip la Concursul de selecţie al profesorilor participanti la mobilitatile desfasurate in cadrul proiectului de acreditare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Erasmus+ coordonta de Gradinita cu program prelungit nr.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10</w:t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2023-1-RO01-KA122-SCH000149686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Precizez că </w:t>
      </w:r>
      <w:proofErr w:type="gramStart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am</w:t>
      </w:r>
      <w:proofErr w:type="gramEnd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luat notă de prevederile procedurii de selecţie din proiectul menţionat mai sus şi sunt de acord cu acestea.</w:t>
      </w: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Inteleg ca prin participarea la mobilitate ma oblig </w:t>
      </w:r>
      <w:proofErr w:type="gramStart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</w:t>
      </w:r>
      <w:proofErr w:type="gramEnd"/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fac activitatile de diseminare descrise in proiect.</w:t>
      </w: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 inscriu pentru sele</w:t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ctie la cursul:</w:t>
      </w:r>
    </w:p>
    <w:p w:rsidR="00444FC4" w:rsidRPr="00444FC4" w:rsidRDefault="00444FC4" w:rsidP="00444F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2534" w:rsidRPr="00B950C5" w:rsidRDefault="00444FC4" w:rsidP="00EF2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□ </w:t>
      </w:r>
      <w:r w:rsidR="00EF2534" w:rsidRPr="00AF5CB2">
        <w:rPr>
          <w:rFonts w:ascii="Times New Roman" w:hAnsi="Times New Roman"/>
          <w:sz w:val="24"/>
          <w:szCs w:val="24"/>
        </w:rPr>
        <w:t>Inclusive classroom through ICT</w:t>
      </w: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F2534" w:rsidRDefault="00EF253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F2534" w:rsidRDefault="00EF253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F2534" w:rsidRDefault="00EF253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F2534" w:rsidRPr="00444FC4" w:rsidRDefault="00EF253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F253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Data</w:t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</w:p>
    <w:p w:rsidR="00EF2534" w:rsidRDefault="00EF253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F2534" w:rsidRDefault="00EF253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F2534" w:rsidRDefault="00EF253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F2534" w:rsidRDefault="00EF253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44FC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                                         Semnătura</w:t>
      </w:r>
    </w:p>
    <w:p w:rsidR="00444FC4" w:rsidRPr="00444FC4" w:rsidRDefault="00444FC4" w:rsidP="00444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286C" w:rsidRPr="00595F76" w:rsidRDefault="0009286C" w:rsidP="00595F76">
      <w:pPr>
        <w:spacing w:after="0"/>
        <w:jc w:val="both"/>
      </w:pPr>
      <w:bookmarkStart w:id="1" w:name="_GoBack"/>
      <w:bookmarkEnd w:id="1"/>
    </w:p>
    <w:sectPr w:rsidR="0009286C" w:rsidRPr="00595F76" w:rsidSect="00595F76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76" w:rsidRDefault="00766376" w:rsidP="00595F76">
      <w:pPr>
        <w:spacing w:after="0" w:line="240" w:lineRule="auto"/>
      </w:pPr>
      <w:r>
        <w:separator/>
      </w:r>
    </w:p>
  </w:endnote>
  <w:endnote w:type="continuationSeparator" w:id="0">
    <w:p w:rsidR="00766376" w:rsidRDefault="00766376" w:rsidP="0059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C4" w:rsidRPr="00444FC4" w:rsidRDefault="00444FC4" w:rsidP="00444F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2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  <w:lang w:val="en-GB"/>
      </w:rPr>
    </w:pPr>
    <w:r w:rsidRPr="00444FC4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hidden="0" allowOverlap="1" wp14:anchorId="4FF97795" wp14:editId="306D8105">
          <wp:simplePos x="0" y="0"/>
          <wp:positionH relativeFrom="column">
            <wp:posOffset>-599440</wp:posOffset>
          </wp:positionH>
          <wp:positionV relativeFrom="paragraph">
            <wp:posOffset>-10160</wp:posOffset>
          </wp:positionV>
          <wp:extent cx="1630680" cy="4953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290"/>
                  <a:stretch>
                    <a:fillRect/>
                  </a:stretch>
                </pic:blipFill>
                <pic:spPr>
                  <a:xfrm>
                    <a:off x="0" y="0"/>
                    <a:ext cx="163068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44FC4">
      <w:rPr>
        <w:rFonts w:ascii="Times New Roman" w:eastAsia="Times New Roman" w:hAnsi="Times New Roman" w:cs="Times New Roman"/>
        <w:b/>
        <w:color w:val="000000"/>
        <w:sz w:val="24"/>
        <w:szCs w:val="24"/>
        <w:lang w:val="en-GB"/>
      </w:rPr>
      <w:t>Proiectul cofinantat de Uniunea Europeana prin programul Erasmus+</w:t>
    </w:r>
  </w:p>
  <w:p w:rsidR="00444FC4" w:rsidRDefault="00444F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76" w:rsidRDefault="00766376" w:rsidP="00595F76">
      <w:pPr>
        <w:spacing w:after="0" w:line="240" w:lineRule="auto"/>
      </w:pPr>
      <w:r>
        <w:separator/>
      </w:r>
    </w:p>
  </w:footnote>
  <w:footnote w:type="continuationSeparator" w:id="0">
    <w:p w:rsidR="00766376" w:rsidRDefault="00766376" w:rsidP="0059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76" w:rsidRDefault="00595F76" w:rsidP="00595F76">
    <w:pPr>
      <w:pStyle w:val="Header"/>
      <w:tabs>
        <w:tab w:val="clear" w:pos="4680"/>
        <w:tab w:val="clear" w:pos="9360"/>
        <w:tab w:val="left" w:pos="2985"/>
      </w:tabs>
    </w:pPr>
    <w:r w:rsidRPr="00DE175C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767CBFE" wp14:editId="0409805B">
          <wp:simplePos x="0" y="0"/>
          <wp:positionH relativeFrom="margin">
            <wp:posOffset>-652145</wp:posOffset>
          </wp:positionH>
          <wp:positionV relativeFrom="margin">
            <wp:posOffset>-1291590</wp:posOffset>
          </wp:positionV>
          <wp:extent cx="1485900" cy="13512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328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8DD58F" wp14:editId="0B46B920">
          <wp:simplePos x="0" y="0"/>
          <wp:positionH relativeFrom="column">
            <wp:posOffset>4194175</wp:posOffset>
          </wp:positionH>
          <wp:positionV relativeFrom="paragraph">
            <wp:posOffset>-151130</wp:posOffset>
          </wp:positionV>
          <wp:extent cx="2305050" cy="40767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5050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t xml:space="preserve">                                </w:t>
    </w:r>
    <w:r>
      <w:rPr>
        <w:rFonts w:ascii="Times New Roman" w:hAnsi="Times New Roman"/>
        <w:noProof/>
        <w:sz w:val="24"/>
      </w:rPr>
      <w:drawing>
        <wp:inline distT="0" distB="0" distL="0" distR="0" wp14:anchorId="6DAA4289" wp14:editId="37C76D98">
          <wp:extent cx="3099942" cy="100965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7706" cy="1008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0D9D"/>
    <w:multiLevelType w:val="multilevel"/>
    <w:tmpl w:val="C016C7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18A7682"/>
    <w:multiLevelType w:val="multilevel"/>
    <w:tmpl w:val="76C499B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D4B567B"/>
    <w:multiLevelType w:val="multilevel"/>
    <w:tmpl w:val="C874A66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DC81A79"/>
    <w:multiLevelType w:val="hybridMultilevel"/>
    <w:tmpl w:val="61603B40"/>
    <w:lvl w:ilvl="0" w:tplc="75A4A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00B0A"/>
    <w:multiLevelType w:val="multilevel"/>
    <w:tmpl w:val="64E4DD3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1BE13C3"/>
    <w:multiLevelType w:val="multilevel"/>
    <w:tmpl w:val="C490601C"/>
    <w:lvl w:ilvl="0">
      <w:start w:val="1"/>
      <w:numFmt w:val="lowerLetter"/>
      <w:lvlText w:val="%1)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6">
    <w:nsid w:val="74216771"/>
    <w:multiLevelType w:val="multilevel"/>
    <w:tmpl w:val="5274BEC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>
    <w:nsid w:val="7F540A7A"/>
    <w:multiLevelType w:val="multilevel"/>
    <w:tmpl w:val="2CFE5FA0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76"/>
    <w:rsid w:val="00062DC0"/>
    <w:rsid w:val="0009286C"/>
    <w:rsid w:val="001401DD"/>
    <w:rsid w:val="00286328"/>
    <w:rsid w:val="00444FC4"/>
    <w:rsid w:val="004952A2"/>
    <w:rsid w:val="00595F76"/>
    <w:rsid w:val="00766376"/>
    <w:rsid w:val="00AC58D3"/>
    <w:rsid w:val="00B950C5"/>
    <w:rsid w:val="00C221D4"/>
    <w:rsid w:val="00C627E9"/>
    <w:rsid w:val="00CC2887"/>
    <w:rsid w:val="00D32E2D"/>
    <w:rsid w:val="00D560AF"/>
    <w:rsid w:val="00E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F76"/>
  </w:style>
  <w:style w:type="paragraph" w:styleId="Footer">
    <w:name w:val="footer"/>
    <w:basedOn w:val="Normal"/>
    <w:link w:val="FooterChar"/>
    <w:uiPriority w:val="99"/>
    <w:unhideWhenUsed/>
    <w:rsid w:val="0059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F76"/>
  </w:style>
  <w:style w:type="paragraph" w:styleId="BalloonText">
    <w:name w:val="Balloon Text"/>
    <w:basedOn w:val="Normal"/>
    <w:link w:val="BalloonTextChar"/>
    <w:uiPriority w:val="99"/>
    <w:semiHidden/>
    <w:unhideWhenUsed/>
    <w:rsid w:val="0059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F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8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8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F76"/>
  </w:style>
  <w:style w:type="paragraph" w:styleId="Footer">
    <w:name w:val="footer"/>
    <w:basedOn w:val="Normal"/>
    <w:link w:val="FooterChar"/>
    <w:uiPriority w:val="99"/>
    <w:unhideWhenUsed/>
    <w:rsid w:val="0059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F76"/>
  </w:style>
  <w:style w:type="paragraph" w:styleId="BalloonText">
    <w:name w:val="Balloon Text"/>
    <w:basedOn w:val="Normal"/>
    <w:link w:val="BalloonTextChar"/>
    <w:uiPriority w:val="99"/>
    <w:semiHidden/>
    <w:unhideWhenUsed/>
    <w:rsid w:val="0059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F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8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2024-02-20T10:42:00Z</dcterms:created>
  <dcterms:modified xsi:type="dcterms:W3CDTF">2024-02-20T10:42:00Z</dcterms:modified>
</cp:coreProperties>
</file>